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3" w:rsidRPr="0056698E" w:rsidRDefault="00B36103" w:rsidP="00B3610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6E2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MA TRẬN ĐỀ KIỂM TRA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GIỮA HỌC</w:t>
      </w:r>
      <w:r w:rsidRPr="00C36E2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KÌ II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NĂM HỌC 2020-2021</w:t>
      </w:r>
    </w:p>
    <w:p w:rsidR="00B36103" w:rsidRPr="00C36E24" w:rsidRDefault="00B36103" w:rsidP="00B36103">
      <w:pPr>
        <w:spacing w:before="60"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36E24">
        <w:rPr>
          <w:rFonts w:ascii="Times New Roman" w:hAnsi="Times New Roman" w:cs="Times New Roman"/>
          <w:b/>
          <w:bCs/>
          <w:color w:val="0000FF"/>
          <w:sz w:val="24"/>
          <w:szCs w:val="24"/>
        </w:rPr>
        <w:t>MÔN: SINH HỌC LỚP 12 – THỜI GIAN LÀM BÀI: 45 PHÚT</w:t>
      </w:r>
    </w:p>
    <w:tbl>
      <w:tblPr>
        <w:tblStyle w:val="TableGrid"/>
        <w:tblW w:w="14388" w:type="dxa"/>
        <w:tblInd w:w="-431" w:type="dxa"/>
        <w:tblLook w:val="04A0" w:firstRow="1" w:lastRow="0" w:firstColumn="1" w:lastColumn="0" w:noHBand="0" w:noVBand="1"/>
      </w:tblPr>
      <w:tblGrid>
        <w:gridCol w:w="701"/>
        <w:gridCol w:w="1530"/>
        <w:gridCol w:w="2655"/>
        <w:gridCol w:w="659"/>
        <w:gridCol w:w="907"/>
        <w:gridCol w:w="702"/>
        <w:gridCol w:w="851"/>
        <w:gridCol w:w="698"/>
        <w:gridCol w:w="990"/>
        <w:gridCol w:w="704"/>
        <w:gridCol w:w="803"/>
        <w:gridCol w:w="708"/>
        <w:gridCol w:w="851"/>
        <w:gridCol w:w="851"/>
        <w:gridCol w:w="764"/>
        <w:gridCol w:w="14"/>
      </w:tblGrid>
      <w:tr w:rsidR="00B36103" w:rsidRPr="00C36E24" w:rsidTr="008253CB">
        <w:trPr>
          <w:trHeight w:val="458"/>
        </w:trPr>
        <w:tc>
          <w:tcPr>
            <w:tcW w:w="701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30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kiến thức</w:t>
            </w:r>
          </w:p>
        </w:tc>
        <w:tc>
          <w:tcPr>
            <w:tcW w:w="2655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kiến thức</w:t>
            </w:r>
          </w:p>
        </w:tc>
        <w:tc>
          <w:tcPr>
            <w:tcW w:w="6314" w:type="dxa"/>
            <w:gridSpan w:val="8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 độ nhận thức</w:t>
            </w:r>
          </w:p>
        </w:tc>
        <w:tc>
          <w:tcPr>
            <w:tcW w:w="3188" w:type="dxa"/>
            <w:gridSpan w:val="5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701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553" w:type="dxa"/>
            <w:gridSpan w:val="2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688" w:type="dxa"/>
            <w:gridSpan w:val="2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507" w:type="dxa"/>
            <w:gridSpan w:val="2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1559" w:type="dxa"/>
            <w:gridSpan w:val="2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(phút)</w:t>
            </w:r>
          </w:p>
        </w:tc>
        <w:tc>
          <w:tcPr>
            <w:tcW w:w="76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tổng</w:t>
            </w:r>
          </w:p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701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07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(phút)</w:t>
            </w:r>
          </w:p>
        </w:tc>
        <w:tc>
          <w:tcPr>
            <w:tcW w:w="702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(phút)</w:t>
            </w:r>
          </w:p>
        </w:tc>
        <w:tc>
          <w:tcPr>
            <w:tcW w:w="69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90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(phút)</w:t>
            </w: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803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(phút)</w:t>
            </w: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701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Cs/>
                <w:sz w:val="24"/>
                <w:szCs w:val="24"/>
              </w:rPr>
              <w:t>. Cá thể và quần thể sinh vật</w:t>
            </w:r>
          </w:p>
        </w:tc>
        <w:tc>
          <w:tcPr>
            <w:tcW w:w="2655" w:type="dxa"/>
            <w:vAlign w:val="center"/>
          </w:tcPr>
          <w:p w:rsidR="00B36103" w:rsidRPr="00C36E24" w:rsidRDefault="00B36103" w:rsidP="008253CB">
            <w:pPr>
              <w:spacing w:before="6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Cs/>
                <w:sz w:val="24"/>
                <w:szCs w:val="24"/>
              </w:rPr>
              <w:t>.1. Môi trường và các nhân tố sinh thái</w:t>
            </w:r>
          </w:p>
        </w:tc>
        <w:tc>
          <w:tcPr>
            <w:tcW w:w="659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2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70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764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701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B36103" w:rsidRPr="00C36E24" w:rsidRDefault="00B36103" w:rsidP="008253CB">
            <w:pPr>
              <w:spacing w:before="6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Cs/>
                <w:sz w:val="24"/>
                <w:szCs w:val="24"/>
              </w:rPr>
              <w:t>.2. Quần thể sinh vật và mối quan hệ giữa các cá thể trong quần thể</w:t>
            </w:r>
          </w:p>
        </w:tc>
        <w:tc>
          <w:tcPr>
            <w:tcW w:w="659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701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B36103" w:rsidRPr="00C36E24" w:rsidRDefault="00B36103" w:rsidP="008253CB">
            <w:pPr>
              <w:spacing w:before="6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.3. </w:t>
            </w:r>
            <w:r w:rsidRPr="00C36E24">
              <w:rPr>
                <w:rFonts w:ascii="Times New Roman" w:hAnsi="Times New Roman" w:cs="Times New Roman"/>
                <w:bCs/>
                <w:sz w:val="24"/>
                <w:szCs w:val="24"/>
              </w:rPr>
              <w:t>Các đặc trưng cơ bản của quần thể sinh vật</w:t>
            </w:r>
          </w:p>
        </w:tc>
        <w:tc>
          <w:tcPr>
            <w:tcW w:w="659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70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B36103" w:rsidRPr="00C36E24" w:rsidRDefault="00B36103" w:rsidP="008253CB">
            <w:pPr>
              <w:spacing w:before="6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36E24">
              <w:rPr>
                <w:rFonts w:ascii="Times New Roman" w:hAnsi="Times New Roman" w:cs="Times New Roman"/>
                <w:bCs/>
                <w:sz w:val="24"/>
                <w:szCs w:val="24"/>
              </w:rPr>
              <w:t>. Quần xã sinh vật và một số đặc trưng cơ bản của quần xã</w:t>
            </w:r>
          </w:p>
        </w:tc>
        <w:tc>
          <w:tcPr>
            <w:tcW w:w="2655" w:type="dxa"/>
            <w:vAlign w:val="center"/>
          </w:tcPr>
          <w:p w:rsidR="00B36103" w:rsidRPr="00C36E24" w:rsidRDefault="00B36103" w:rsidP="008253CB">
            <w:pPr>
              <w:spacing w:before="6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Quần xã sinh vật và một số đặc trưng cơ bản của quần xã; </w:t>
            </w:r>
          </w:p>
          <w:p w:rsidR="00B36103" w:rsidRPr="00C36E24" w:rsidRDefault="00B36103" w:rsidP="008253CB">
            <w:pPr>
              <w:spacing w:before="6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vAlign w:val="center"/>
          </w:tcPr>
          <w:p w:rsidR="00B36103" w:rsidRPr="00B72F6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36103" w:rsidRPr="00B72F6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704" w:type="dxa"/>
            <w:vAlign w:val="center"/>
          </w:tcPr>
          <w:p w:rsidR="00B36103" w:rsidRPr="00B72F6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B36103" w:rsidRPr="00B72F6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4886" w:type="dxa"/>
            <w:gridSpan w:val="3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659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702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69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70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76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4886" w:type="dxa"/>
            <w:gridSpan w:val="3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Tỉ lệ (%)</w:t>
            </w:r>
          </w:p>
        </w:tc>
        <w:tc>
          <w:tcPr>
            <w:tcW w:w="1566" w:type="dxa"/>
            <w:gridSpan w:val="2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1553" w:type="dxa"/>
            <w:gridSpan w:val="2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88" w:type="dxa"/>
            <w:gridSpan w:val="2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07" w:type="dxa"/>
            <w:gridSpan w:val="2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103" w:rsidRPr="00C36E24" w:rsidTr="008253CB">
        <w:trPr>
          <w:gridAfter w:val="1"/>
          <w:wAfter w:w="14" w:type="dxa"/>
        </w:trPr>
        <w:tc>
          <w:tcPr>
            <w:tcW w:w="4886" w:type="dxa"/>
            <w:gridSpan w:val="3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Tỉ lệ chung (%)</w:t>
            </w:r>
          </w:p>
        </w:tc>
        <w:tc>
          <w:tcPr>
            <w:tcW w:w="3119" w:type="dxa"/>
            <w:gridSpan w:val="4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70</w:t>
            </w:r>
          </w:p>
        </w:tc>
        <w:tc>
          <w:tcPr>
            <w:tcW w:w="3195" w:type="dxa"/>
            <w:gridSpan w:val="4"/>
            <w:vAlign w:val="center"/>
          </w:tcPr>
          <w:p w:rsidR="00B36103" w:rsidRPr="009F72B3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72B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36103" w:rsidRPr="00C36E24" w:rsidRDefault="00B36103" w:rsidP="008253CB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103" w:rsidRPr="00C36E24" w:rsidRDefault="00B36103" w:rsidP="00B36103">
      <w:pPr>
        <w:tabs>
          <w:tab w:val="center" w:pos="4680"/>
          <w:tab w:val="right" w:pos="9360"/>
        </w:tabs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E24">
        <w:rPr>
          <w:rFonts w:ascii="Times New Roman" w:hAnsi="Times New Roman" w:cs="Times New Roman"/>
          <w:b/>
          <w:bCs/>
          <w:sz w:val="24"/>
          <w:szCs w:val="24"/>
        </w:rPr>
        <w:t>Lưu ý:</w:t>
      </w:r>
    </w:p>
    <w:p w:rsidR="00B36103" w:rsidRPr="00C36E24" w:rsidRDefault="00B36103" w:rsidP="00B36103">
      <w:pPr>
        <w:tabs>
          <w:tab w:val="center" w:pos="4680"/>
          <w:tab w:val="right" w:pos="9360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C36E24">
        <w:rPr>
          <w:rFonts w:ascii="Times New Roman" w:hAnsi="Times New Roman" w:cs="Times New Roman"/>
          <w:sz w:val="24"/>
          <w:szCs w:val="24"/>
        </w:rPr>
        <w:lastRenderedPageBreak/>
        <w:t>- Các câu hỏi ở cấp độ nhận biết và thông hiểu là các câu hỏi trắc nghiệm khách quan 4 lựa chọn, trong đó có duy nhất 1 lựa chọn đúng.</w:t>
      </w:r>
    </w:p>
    <w:p w:rsidR="00B36103" w:rsidRPr="00C36E24" w:rsidRDefault="00B36103" w:rsidP="00B36103">
      <w:pPr>
        <w:tabs>
          <w:tab w:val="center" w:pos="4680"/>
          <w:tab w:val="right" w:pos="9360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C36E24">
        <w:rPr>
          <w:rFonts w:ascii="Times New Roman" w:hAnsi="Times New Roman" w:cs="Times New Roman"/>
          <w:sz w:val="24"/>
          <w:szCs w:val="24"/>
        </w:rPr>
        <w:t>- Các câu hỏi ở cấp độ vận dụng và vận dụng cao là các câu hỏi tự luận.</w:t>
      </w:r>
    </w:p>
    <w:p w:rsidR="00B36103" w:rsidRPr="00C36E24" w:rsidRDefault="00B36103" w:rsidP="00B36103">
      <w:pPr>
        <w:tabs>
          <w:tab w:val="center" w:pos="4680"/>
          <w:tab w:val="right" w:pos="9360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C36E24">
        <w:rPr>
          <w:rFonts w:ascii="Times New Roman" w:hAnsi="Times New Roman" w:cs="Times New Roman"/>
          <w:sz w:val="24"/>
          <w:szCs w:val="24"/>
        </w:rP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B36103" w:rsidRPr="00B35FFB" w:rsidRDefault="00B36103" w:rsidP="00B3610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6E24">
        <w:rPr>
          <w:rFonts w:ascii="Times New Roman" w:hAnsi="Times New Roman" w:cs="Times New Roman"/>
          <w:sz w:val="24"/>
          <w:szCs w:val="24"/>
        </w:rPr>
        <w:br w:type="page"/>
      </w:r>
      <w:r w:rsidRPr="00B35FFB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HƯỚNG DẪN XÂY DỰNG ĐỀ KIỂM TRA CUỐI HỌC KÌ II</w:t>
      </w:r>
    </w:p>
    <w:p w:rsidR="00B36103" w:rsidRPr="00B35FFB" w:rsidRDefault="00B36103" w:rsidP="00B36103">
      <w:pPr>
        <w:spacing w:before="60"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5FFB">
        <w:rPr>
          <w:rFonts w:ascii="Times New Roman" w:hAnsi="Times New Roman" w:cs="Times New Roman"/>
          <w:b/>
          <w:color w:val="0000FF"/>
          <w:sz w:val="28"/>
          <w:szCs w:val="28"/>
        </w:rPr>
        <w:t>MÔN: SINH HỌC LỚP 12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35FF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THỜI GIAN LÀM BÀI: 45 PHÚT </w:t>
      </w:r>
    </w:p>
    <w:p w:rsidR="00B36103" w:rsidRPr="00C36E24" w:rsidRDefault="00B36103" w:rsidP="00B36103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6663"/>
        <w:gridCol w:w="992"/>
        <w:gridCol w:w="993"/>
        <w:gridCol w:w="850"/>
        <w:gridCol w:w="1370"/>
      </w:tblGrid>
      <w:tr w:rsidR="00B36103" w:rsidRPr="00C36E24" w:rsidTr="008253CB">
        <w:trPr>
          <w:tblHeader/>
        </w:trPr>
        <w:tc>
          <w:tcPr>
            <w:tcW w:w="567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276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6663" w:type="dxa"/>
            <w:vMerge w:val="restart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Mức độ kiến thức, kĩ năng </w:t>
            </w:r>
          </w:p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cần kiểm tra, đánh giá</w:t>
            </w:r>
          </w:p>
        </w:tc>
        <w:tc>
          <w:tcPr>
            <w:tcW w:w="4205" w:type="dxa"/>
            <w:gridSpan w:val="4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mức độ nhận thức</w:t>
            </w:r>
          </w:p>
        </w:tc>
      </w:tr>
      <w:tr w:rsidR="00B36103" w:rsidRPr="00C36E24" w:rsidTr="008253CB">
        <w:trPr>
          <w:tblHeader/>
        </w:trPr>
        <w:tc>
          <w:tcPr>
            <w:tcW w:w="567" w:type="dxa"/>
            <w:vMerge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993" w:type="dxa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850" w:type="dxa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Vận dụng </w:t>
            </w:r>
          </w:p>
        </w:tc>
        <w:tc>
          <w:tcPr>
            <w:tcW w:w="1370" w:type="dxa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</w:tr>
      <w:tr w:rsidR="00B36103" w:rsidRPr="00C36E24" w:rsidTr="008253CB">
        <w:trPr>
          <w:trHeight w:val="440"/>
        </w:trPr>
        <w:tc>
          <w:tcPr>
            <w:tcW w:w="567" w:type="dxa"/>
            <w:vMerge w:val="restart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. Cá thể và quần thể sinh vật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.1. Môi trường và các nhân tố sinh thái</w:t>
            </w:r>
          </w:p>
        </w:tc>
        <w:tc>
          <w:tcPr>
            <w:tcW w:w="6663" w:type="dxa"/>
            <w:vAlign w:val="center"/>
          </w:tcPr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:rsidR="00B36103" w:rsidRPr="00A12666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vi-VN"/>
              </w:rPr>
            </w:pPr>
            <w:r w:rsidRPr="00A12666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- Tái hiện được khái niệm môi trường </w:t>
            </w:r>
            <w:r w:rsidRPr="00A12666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và </w:t>
            </w:r>
            <w:r w:rsidRPr="00A12666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de-DE"/>
              </w:rPr>
              <w:t>nhận ra được 4 loại môi trường sống.</w:t>
            </w:r>
          </w:p>
          <w:p w:rsidR="00B36103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  <w:t>-</w:t>
            </w:r>
            <w:r w:rsidRPr="00C36E2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  <w:t xml:space="preserve"> Tái hiện được khái niệm về giới hạn sinh thái và ổ sinh thái. </w:t>
            </w:r>
            <w:bookmarkStart w:id="0" w:name="_GoBack"/>
            <w:bookmarkEnd w:id="0"/>
          </w:p>
          <w:p w:rsidR="00B36103" w:rsidRPr="00EE104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val="de-DE" w:eastAsia="zh-CN"/>
              </w:rPr>
            </w:pPr>
            <w:r w:rsidRPr="00EE1044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>Thông hiểu:</w:t>
            </w:r>
          </w:p>
          <w:p w:rsidR="00B36103" w:rsidRPr="00EE104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pacing w:val="2"/>
                <w:sz w:val="26"/>
                <w:szCs w:val="26"/>
                <w:lang w:val="de-DE" w:eastAsia="zh-CN"/>
              </w:rPr>
            </w:pPr>
            <w:r w:rsidRPr="00EE1044">
              <w:rPr>
                <w:rFonts w:ascii="Times New Roman" w:hAnsi="Times New Roman" w:cs="Times New Roman"/>
                <w:color w:val="FF0000"/>
                <w:spacing w:val="2"/>
                <w:sz w:val="26"/>
                <w:szCs w:val="26"/>
                <w:lang w:val="de-DE" w:eastAsia="zh-CN"/>
              </w:rPr>
              <w:t>- Xác định được khoảng thuận lợi, khoảng chống chịu của sinh vật thông qua đồ thị.</w:t>
            </w:r>
          </w:p>
          <w:p w:rsidR="00B36103" w:rsidRPr="00EE104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- 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ác định được giới hạn sinh thái của các loài khác nhau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và x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ác định được các khoản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 giá trị trong 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iới hạn sinh thái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khoảng thuận lợi, khoảng chống chịu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  <w:r w:rsidRPr="00EE10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 của sinh vật thông qua ví dụ cụ thể.</w:t>
            </w:r>
          </w:p>
          <w:p w:rsidR="00B36103" w:rsidRPr="00EE104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val="de-DE" w:eastAsia="zh-CN"/>
              </w:rPr>
            </w:pPr>
            <w:r w:rsidRPr="00EE1044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>Vận dụng:</w:t>
            </w:r>
          </w:p>
          <w:p w:rsidR="00B36103" w:rsidRPr="00EE104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pacing w:val="2"/>
                <w:sz w:val="26"/>
                <w:szCs w:val="26"/>
                <w:lang w:val="de-DE" w:eastAsia="zh-CN"/>
              </w:rPr>
            </w:pPr>
            <w:r w:rsidRPr="00EE1044">
              <w:rPr>
                <w:rFonts w:ascii="Times New Roman" w:hAnsi="Times New Roman" w:cs="Times New Roman"/>
                <w:color w:val="FF0000"/>
                <w:spacing w:val="2"/>
                <w:sz w:val="26"/>
                <w:szCs w:val="26"/>
                <w:lang w:val="de-DE" w:eastAsia="zh-CN"/>
              </w:rPr>
              <w:t>- Lấy được các ví dụ về ổ sinh thái và đánh giá được ý nghĩa của việc phân hóa ổ sinh thái trong các ví dụ đó.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36103" w:rsidRPr="00C36E24" w:rsidTr="008253CB">
        <w:trPr>
          <w:trHeight w:val="566"/>
        </w:trPr>
        <w:tc>
          <w:tcPr>
            <w:tcW w:w="567" w:type="dxa"/>
            <w:vMerge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.2. Quần thể sinh vật và mối quan hệ giữa các cá thể trong quần thể</w:t>
            </w:r>
          </w:p>
        </w:tc>
        <w:tc>
          <w:tcPr>
            <w:tcW w:w="6663" w:type="dxa"/>
          </w:tcPr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biết:</w:t>
            </w:r>
          </w:p>
          <w:p w:rsidR="00B36103" w:rsidRPr="00254A1A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Lấy ví dụ về</w:t>
            </w:r>
            <w:r w:rsidRPr="00254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quần thể </w:t>
            </w:r>
          </w:p>
          <w:p w:rsidR="00B36103" w:rsidRPr="007729A9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Lấy ví dụ về quan hệ hỗ trợ, quan hệ cạnh tranh. </w:t>
            </w:r>
          </w:p>
          <w:p w:rsidR="007D68EC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24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- Nhận ra được các mối quan hệ sinh thái giữa các cá thể trong quần thể (quan hệ hỗ trợ và quan hệ cạnh tranh) và nhớ lại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 được ý nghĩa của các mối quan hệ hỗ trợ và cạnh tranh.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Thông hiểu:</w:t>
            </w:r>
          </w:p>
          <w:p w:rsidR="007D68EC" w:rsidRDefault="00B36103" w:rsidP="007D68EC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- Xác định được tập hợp nào là một quần thể sinh vật và tập hợp nào không phải là một quần thể. </w:t>
            </w:r>
          </w:p>
          <w:p w:rsidR="00B36103" w:rsidRPr="00254A1A" w:rsidRDefault="00B36103" w:rsidP="007D68EC">
            <w:pPr>
              <w:spacing w:before="60"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C36E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Phân biệt được </w:t>
            </w:r>
            <w:r w:rsidRPr="00C36E24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mối quan hệ hỗ trợ và cạnh tranh cùng loài.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36103" w:rsidRPr="00C36E24" w:rsidTr="008253CB">
        <w:trPr>
          <w:trHeight w:val="611"/>
        </w:trPr>
        <w:tc>
          <w:tcPr>
            <w:tcW w:w="567" w:type="dxa"/>
            <w:vMerge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.3. Các đặc trưng cơ bản của quần thể sinh vật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641256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6444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Biến động số lượng cá thể của quần thể sinh vật.</w:t>
            </w:r>
          </w:p>
        </w:tc>
        <w:tc>
          <w:tcPr>
            <w:tcW w:w="6663" w:type="dxa"/>
          </w:tcPr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biết:</w:t>
            </w:r>
          </w:p>
          <w:p w:rsidR="007D68EC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- Nhận ra các đặc trưng cơ bản của quần thể sinh vật.</w:t>
            </w:r>
            <w:r w:rsidRPr="00C36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- Nhớ được định nghĩa về mật độ, tỉ lệ giới tính, kích thước quần thể, kích thước tối thiểu, kích thước tối đa.</w:t>
            </w:r>
            <w:r w:rsidRPr="00C36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Tái hiện được các khái niệm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ví dụ</w:t>
            </w:r>
            <w:r w:rsidRPr="00644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Biến động số lượng cá thể của quần thể sinh vật, biến động theo chu kì, biến động không theo chu kì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6103" w:rsidRPr="007729A9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Nhớ lại được các kiểu phân bố cá thể trong quần thể; Nhận ra được ý nghĩa sinh thái của mỗi kiểu phân bố.</w:t>
            </w:r>
          </w:p>
          <w:p w:rsidR="00B36103" w:rsidRPr="008627E3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Tái hiện được các khái niệm: tuổi sinh lí, tuổi sinh thái, tuổi quần thể; Nhận ra được các loại tháp tuổi và tái hiện được ảnh hưởng cuả cấu trúc tuổi tới quần thể.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hiểu:</w:t>
            </w:r>
          </w:p>
          <w:p w:rsidR="00B36103" w:rsidRPr="00B85313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3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Phát hiện ra các đặc trưng của quần thể thông qua các ví dụ cụ thể.</w:t>
            </w:r>
          </w:p>
          <w:p w:rsidR="00B36103" w:rsidRPr="00B85313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3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Phân tích được tác động của kích thước tối thiểu và kích thước tối đa đến sự tồn tại của quần thể. </w:t>
            </w:r>
          </w:p>
          <w:p w:rsidR="00B36103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Xác định được kiểu biến động số lượng thông qua ví dụ cụ thể. </w:t>
            </w:r>
          </w:p>
          <w:p w:rsidR="00B36103" w:rsidRPr="00184587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(Tự luận 1 trong 2 câu)</w:t>
            </w:r>
          </w:p>
          <w:p w:rsidR="00B36103" w:rsidRPr="00184587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587">
              <w:rPr>
                <w:rFonts w:ascii="Times New Roman" w:hAnsi="Times New Roman" w:cs="Times New Roman"/>
                <w:sz w:val="26"/>
                <w:szCs w:val="26"/>
              </w:rPr>
              <w:t>- Giải thích được vì sao mật độ là đặc trưng cơ bản nhất của quần thể.</w:t>
            </w:r>
          </w:p>
          <w:p w:rsidR="00B36103" w:rsidRPr="00184587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587">
              <w:rPr>
                <w:rFonts w:ascii="Times New Roman" w:hAnsi="Times New Roman" w:cs="Times New Roman"/>
                <w:sz w:val="26"/>
                <w:szCs w:val="26"/>
              </w:rPr>
              <w:t xml:space="preserve">- Giải thích được vì sao khi kích thước của quần thể quá thấp thì quần thể dễ rơi vào trạng thái diệt vong. </w:t>
            </w:r>
          </w:p>
          <w:p w:rsidR="00B36103" w:rsidRPr="007366B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Vận dụng được những hiểu biết về các nhóm tuổi để đề xuất các biện pháp khai thác và bảo vệ tài nguyên.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B36103" w:rsidRPr="00C36E24" w:rsidTr="008253CB">
        <w:trPr>
          <w:trHeight w:val="413"/>
        </w:trPr>
        <w:tc>
          <w:tcPr>
            <w:tcW w:w="567" w:type="dxa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>. Quần xã sinh vật và một số đặc trưng cơ bản của quần xã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Quần xã sinh vật và một số đặc trưng cơ bản của quần xã; </w:t>
            </w:r>
          </w:p>
          <w:p w:rsidR="00B36103" w:rsidRPr="00C36E24" w:rsidRDefault="00B36103" w:rsidP="008253C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36103" w:rsidRPr="00C36E24" w:rsidRDefault="00B36103" w:rsidP="008253CB">
            <w:pPr>
              <w:spacing w:before="60" w:after="0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  <w:t>Nhận biết:</w:t>
            </w:r>
          </w:p>
          <w:p w:rsidR="00B36103" w:rsidRPr="004B4286" w:rsidRDefault="00B36103" w:rsidP="008253CB">
            <w:pPr>
              <w:spacing w:before="60" w:after="0"/>
              <w:ind w:right="17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spacing w:val="8"/>
                <w:sz w:val="24"/>
                <w:szCs w:val="24"/>
                <w:lang w:val="de-DE" w:eastAsia="zh-CN"/>
              </w:rPr>
              <w:t>- Nhận ra được các đặc trưng cơ bản của quần xã:</w:t>
            </w:r>
          </w:p>
          <w:p w:rsidR="00B36103" w:rsidRPr="00C36E24" w:rsidRDefault="00B36103" w:rsidP="008253CB">
            <w:pPr>
              <w:tabs>
                <w:tab w:val="left" w:pos="284"/>
              </w:tabs>
              <w:spacing w:before="60" w:after="0"/>
              <w:ind w:right="17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spacing w:val="8"/>
                <w:sz w:val="24"/>
                <w:szCs w:val="24"/>
                <w:lang w:val="de-DE" w:eastAsia="zh-CN"/>
              </w:rPr>
              <w:t xml:space="preserve">- Nhận ra được các ví dụ về quan hệ cộng sinh, hội sinh, hợp tác; cạnh tranh, kí sinh, ức chế cảm nhiễm, sinh vật ăn sinh vật. </w:t>
            </w:r>
          </w:p>
          <w:p w:rsidR="00B36103" w:rsidRPr="00697EAE" w:rsidRDefault="00B36103" w:rsidP="008253CB">
            <w:pPr>
              <w:tabs>
                <w:tab w:val="left" w:pos="284"/>
              </w:tabs>
              <w:spacing w:before="60" w:after="0"/>
              <w:ind w:right="17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</w:pPr>
            <w:r w:rsidRPr="00697EAE"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  <w:lang w:val="de-DE" w:eastAsia="zh-CN"/>
              </w:rPr>
              <w:t>- Tái hiện được khái niệm về khống chế sinh học và nhận biết được ví dụ về khống chế sinh học.</w:t>
            </w:r>
            <w:r w:rsidRPr="00697EAE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  <w:t xml:space="preserve"> </w:t>
            </w:r>
          </w:p>
          <w:p w:rsidR="00B36103" w:rsidRPr="00C36E24" w:rsidRDefault="00B36103" w:rsidP="008253CB">
            <w:pPr>
              <w:tabs>
                <w:tab w:val="left" w:pos="284"/>
              </w:tabs>
              <w:spacing w:before="60" w:after="0"/>
              <w:ind w:right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  <w:t xml:space="preserve">Thông hiểu: </w:t>
            </w:r>
          </w:p>
          <w:p w:rsidR="00B36103" w:rsidRPr="007E3970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de-DE" w:eastAsia="zh-CN"/>
              </w:rPr>
            </w:pPr>
            <w:r w:rsidRPr="007E3970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de-DE" w:eastAsia="zh-CN"/>
              </w:rPr>
              <w:t>- Phát hiện được các đặc trưng của quần xã thông qua các ví dụ cụ thể.</w:t>
            </w:r>
            <w:r w:rsidRPr="007E3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36103" w:rsidRPr="00697EAE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7EA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- Phân biệt được loài ưu thế và loài đặc trưng. </w:t>
            </w:r>
          </w:p>
          <w:p w:rsidR="00B36103" w:rsidRPr="00C36E24" w:rsidRDefault="00B36103" w:rsidP="008253CB">
            <w:pPr>
              <w:spacing w:before="60" w:after="0"/>
              <w:ind w:right="17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spacing w:val="8"/>
                <w:sz w:val="24"/>
                <w:szCs w:val="24"/>
                <w:lang w:val="de-DE" w:eastAsia="zh-CN"/>
              </w:rPr>
              <w:t>- Phân biệt được mối quan hệ giữa các sinh vật trong quần xã.</w:t>
            </w:r>
            <w:r w:rsidRPr="00C36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36103" w:rsidRPr="00C36E24" w:rsidRDefault="00B36103" w:rsidP="008253CB">
            <w:pPr>
              <w:spacing w:before="60" w:after="0"/>
              <w:ind w:right="17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  <w:t xml:space="preserve">- Xác định được các mối quan hệ giữa các sinh vật trong quần xã thông qua các ví dụ thực tiễn. 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spacing w:val="6"/>
                <w:sz w:val="24"/>
                <w:szCs w:val="24"/>
                <w:lang w:val="de-DE" w:eastAsia="zh-CN"/>
              </w:rPr>
              <w:t>- Phát hiện được vai trò của hiện tượng phân tầng trong quần xã</w:t>
            </w:r>
          </w:p>
          <w:p w:rsidR="00B36103" w:rsidRPr="007E3970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7E3970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- Phân biệt được sự khác nhau cơ bản giữa quan hệ hỗ trợ và quan hệ đối</w:t>
            </w:r>
            <w:r w:rsidRPr="007E3970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kháng trong quần xã</w:t>
            </w:r>
            <w:r w:rsidRPr="007E3970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.</w:t>
            </w:r>
            <w:r w:rsidRPr="007E3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36103" w:rsidRPr="00C36E24" w:rsidRDefault="00B36103" w:rsidP="008253CB">
            <w:pPr>
              <w:spacing w:before="60" w:after="0"/>
              <w:ind w:right="17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de-DE" w:eastAsia="zh-CN"/>
              </w:rPr>
              <w:t>Vận dụng: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(Tự luận 1 trong 2 câu)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Phân biệt được sự khác nhau giữa quần thể và quần xã.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- Giải thích được cơ sở khoa học của việc trồng xen và nuôi ghép trong trồng trọt và chăn nuôi.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cao: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Tự luận 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trong 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D6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câu)</w:t>
            </w:r>
          </w:p>
          <w:p w:rsidR="00B36103" w:rsidRPr="00C36E24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 xml:space="preserve"> Giải thích được vì sao có thể trồng nhiều loài cây trên 1 đơn vị </w:t>
            </w:r>
            <w:r w:rsidRPr="00C3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diện tích; nuôi nhiều loài cá trong 1 ao nuôi cá. </w:t>
            </w:r>
          </w:p>
          <w:p w:rsidR="00B36103" w:rsidRPr="00B630C1" w:rsidRDefault="00B36103" w:rsidP="008253CB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</w:rPr>
              <w:t>- Phân tích được 1 số ví dụ thực tiễn về khống chế sinh học và nêu được ý nghĩa của khống chế sinh học trong hiện tượ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đó.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36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B36103" w:rsidRPr="00C36E24" w:rsidTr="008253CB">
        <w:trPr>
          <w:trHeight w:val="368"/>
        </w:trPr>
        <w:tc>
          <w:tcPr>
            <w:tcW w:w="3402" w:type="dxa"/>
            <w:gridSpan w:val="3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Tổng</w:t>
            </w:r>
          </w:p>
        </w:tc>
        <w:tc>
          <w:tcPr>
            <w:tcW w:w="6663" w:type="dxa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103" w:rsidRPr="009B7D1D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bidi="hi-IN"/>
              </w:rPr>
            </w:pPr>
            <w:r w:rsidRPr="009B7D1D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6103" w:rsidRPr="009B7D1D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B7D1D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  <w:r w:rsidRPr="00C36E24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36103" w:rsidRPr="00C36E24" w:rsidRDefault="00B36103" w:rsidP="008253C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  <w:r w:rsidRPr="00C36E24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  <w:t>2</w:t>
            </w:r>
          </w:p>
        </w:tc>
      </w:tr>
    </w:tbl>
    <w:p w:rsidR="00B36103" w:rsidRPr="001C4A2A" w:rsidRDefault="00B36103" w:rsidP="00B36103">
      <w:pPr>
        <w:rPr>
          <w:sz w:val="24"/>
          <w:szCs w:val="24"/>
        </w:rPr>
        <w:sectPr w:rsidR="00B36103" w:rsidRPr="001C4A2A" w:rsidSect="00D66F32">
          <w:pgSz w:w="15840" w:h="12240" w:orient="landscape"/>
          <w:pgMar w:top="1134" w:right="851" w:bottom="1134" w:left="1134" w:header="720" w:footer="720" w:gutter="0"/>
          <w:cols w:space="720"/>
          <w:docGrid w:linePitch="360"/>
        </w:sectPr>
      </w:pPr>
    </w:p>
    <w:p w:rsidR="00E10F93" w:rsidRDefault="00E10F93"/>
    <w:sectPr w:rsidR="00E1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3"/>
    <w:rsid w:val="006370BD"/>
    <w:rsid w:val="007D68EC"/>
    <w:rsid w:val="00B36103"/>
    <w:rsid w:val="00E10F93"/>
    <w:rsid w:val="00E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7B14-8137-4FB8-932D-55464FA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2021-02-28T05:04:00Z</dcterms:created>
  <dcterms:modified xsi:type="dcterms:W3CDTF">2021-03-01T03:00:00Z</dcterms:modified>
</cp:coreProperties>
</file>